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50</w:t>
      </w:r>
    </w:p>
    <w:p>
      <w:r>
        <w:t>Bundesgericht (BGE), 1999-01-29, DE</w:t>
      </w:r>
    </w:p>
    <w:p>
      <w:r>
        <w:rPr>
          <w:b/>
        </w:rPr>
        <w:t xml:space="preserve">Quelle: </w:t>
      </w:r>
      <w:r>
        <w:t>https://mcp.opencaselaw.ch/entscheid/bge_125 III 50</w:t>
      </w:r>
    </w:p>
    <w:p>
      <w:r>
        <w:t>FR: ATF 125 III 50</w:t>
      </w:r>
    </w:p>
    <w:p>
      <w:r>
        <w:t>IT: DTF 125 III 50</w:t>
      </w:r>
    </w:p>
    <w:p>
      <w:pPr>
        <w:pStyle w:val="Heading2"/>
      </w:pPr>
      <w:r>
        <w:t>Regeste</w:t>
      </w:r>
    </w:p>
    <w:p>
      <w:r>
        <w:t>Regeste Bewertung von Vermögensgegenständen in der güterrechtlichen Auseinandersetzung (Art. 211 ZGB) (Änderung der Rechtsprechung). Belastungen eines Vermögensgegenstandes, die sich erst künftig realisieren könnten, sind bei dessen Bewertung als wertvermindernde Faktoren stets zu berücksichtigen (E. 2a). Ob und gegebenenfalls wann sich solche latente Lasten verwirklichen könnten, ist für deren Bewertung bestimmend. Dabei entscheidet der Richter unter Berücksichtigung aller Umstände '«ex aequo et bono'» (E. 2b).</w:t>
      </w:r>
    </w:p>
    <w:p>
      <w:pPr>
        <w:pStyle w:val="Heading2"/>
      </w:pPr>
      <w:r>
        <w:t>Erwägungen</w:t>
      </w:r>
    </w:p>
    <w:p>
      <w:r>
        <w:rPr>
          <w:b/>
        </w:rPr>
        <w:t>E. 1</w:t>
      </w:r>
    </w:p>
    <w:p>
      <w:r>
        <w:t>Umstritten ist im vorliegenden Fall die Frage, zu welchem Wert das landwirtschaftliche Gewerbe, welches der Beklagte als Mitglied der Erbengemeinschaft des R.M. sel. aufgrund einer Vereinbarung vom 30. Juni 1980 mit den übrigen Erben übernommen hat, in der güterrechtlichen Auseinandersetzung einzusetzen ist. a) Das Obergericht hat festgehalten, dass der Beklagte den Landwirtschaftsbetrieb zum Ertragswert von Fr. 121'000.-- übernommen habe. Dabei habe der Übernahmepreis unter Anrechnung seiner eigenen Quote Fr. 100'000.- betragen. Gestützt auf ein Gutachten der kantonalen Schätzungsstelle des Kantons Solothurn vom 19. Oktober 1995 bezifferte das Obergericht den Verkehrswert des Betriebes für den massgebenden Zeitpunkt der Einleitung der Scheidungsklage per Ende 1985 auf Fr. 809'300.--. Vom Verkehrswert seien die auf dem Betrieb lastenden Schulden von Fr. 355'100.-- abzuziehen; grundsätzlich wäre damit von einem Nettoverkehrswert von Fr. 454'200.- auszugehen. b) Das Obergericht führte nun allerdings aus, dass bei der Bewertung des Landwirtschaftsbetriebes das Vorkaufs- und Gewinnbeteiligungsrecht sowie der Rückübertragungsanspruch der seinerzeitigen Miterben des Beklagten zu berücksichtigen seien. Massgebend sei der Wert, den der Vermögensgegenstand im Zeitpunkt der güterrechtlichen Auseinandersetzung für den Eigentümer habe. Im Einzelnen hielt das Obergericht fest, dass das in Ziff. 4 der Vereinbarung vom 30. Juni 1980 verankerte Vorkaufsrecht keinen Einfluss auf den Wert des Landwirtschaftsbetriebes habe, weil nicht dargetan sei, dass das Vorkaufsrecht zum Ertragswert ausgeübt werden könnte. Hingegen sei ein Gewinnbeteiligungsrecht der damaligen Erben gemäss Ziff. 3 der erwähnten Vereinbarung für die Dauer von 25 Jahren - d.h. bis am 29. Juni 2006 - zu berücksichtigen. Ferner sei auch der in Ziff. 5 für den gleichen Zeitraum vereinbarte Rückübertragungsanspruch bei der Bestimmung des massgebenden Wertes des landwirtschaftlichen Betriebes zu berücksichtigen. Aufgrund dieser Belastungen rechtfertige es sich, '«den anrechenbaren Wert des landwirtschaftlichen Gewerbes den Schulden gleichzusetzen, m.a.W. das Aktivum durch die Schulden zu neutralisieren'». Im Ergebnis bewertete die Vorinstanz somit das Gewinnbeteiligungsrecht und den Rückübertragungsanspruch mit Fr. 454'200.--. c) Die Klägerin stellt sich auf den Standpunkt, dass das Obergericht mit dieser Begründung gegen die allgemein anerkannte Definition BGE 125 III 50 S. 53 des Verkehrswertes verstosse. Das Gewinnbeteiligungsrecht führe nur zu einer persönlichen Bindung des Beklagten, vermindere aber den Verkehrswert des Landwirtschaftsbetriebes nicht; auf jeden Fall sei zu berücksichtigen, dass heute bereits 17 Jahre der für den Gewinnanspruch bemessenen Frist von 25 Jahren verstrichen seien. Desgleichen verpflichte der Rückübertragungsanspruch nur den Beklagten persönlich und habe keinen Einfluss auf den Wert des Betriebes, der sich nur nach objektiven Kriterien richte; im Übrigen sei die Wahrscheinlichkeit des Eintritts einer Betriebsaufgabe so gering, dass sie für die Verkehrswertberechnung ohnehin nicht ins Gewicht falle.</w:t>
      </w:r>
    </w:p>
    <w:p>
      <w:r>
        <w:rPr>
          <w:b/>
        </w:rPr>
        <w:t>E. 2</w:t>
      </w:r>
    </w:p>
    <w:p>
      <w:r>
        <w:t>Unbestritten ist zunächst, dass sich die güterrechtliche Auseinandersetzung nach den Bestimmungen des bis am 31. Dezember 1987 geltenden Ehegüterrechtes richtet, weil der Güterstand aufgrund einer vor dem Inkrafttreten des neuen Rechtes erhobenen Klage aufzulösen ist (Art. 9d Abs. 3 SchlTZGB). Die Ehe wurde gestützt auf das vom Beklagten am 16. April 1986 widerklageweise erhobene Scheidungsbegehren geschieden. Da zwischen den Parteien kein Ehevertrag bestand, sind die Bestimmungen über das Güterverbindungsrecht anwendbar (Art. 194 ff. aZGB). Danach ist für die Berechnung der Vorschlagsforderung der Ehefrau durchwegs das Verkehrswertprinzip massgebend; eine Sonderbehandlung für landwirtschaftliche Gewerbe ist - im Gegensatz zum Erbrecht ( Art. 617 und 620 ZGB ) und zum neuen Ehegüterrecht (Art. 212 Abs. 1 nZGB) - nicht vorgesehen (statt vieler: HAUSHEER/REUSSER/GEISER, Berner Kommentar, N. 4 zu Art. 212 und 213 ZGB ). Grundsätzlich ist daher für die Berechnung des Vorschlagsanteils auf den vom Schätzungsexperten ermittelten Wert von Fr. 809'300.- abzustellen. a) Die Vorinstanz vertritt nun allerdings die Auffassung, dass der Verkehrswert von Fr. 809'300.-- angemessen zu reduzieren sei. Da sich bei einem allfälligen künftigen Verkauf des Landwirtschaftsbetriebes das Gewinnbeteiligungsrecht und der vertragliche Rückübertragungsanspruch aktualisieren könnten, sei derjenige Wert einzusetzen, den der Vermögensgegenstand für den Eigentümer habe. Die Beklagte verlangt demgegenüber, dass die güterrechtliche Auseinandersetzung auf der Basis eines Verkehrswertes von Fr. 809'300.-- durchzuführen sei. aa) Das Bundesgericht musste noch nie entscheiden, wie Landwirtschaftsbetriebe, welche mit Vorzugsrechten belastet sind, die sich bei einem allfälligen künftigen Verkauf aktualisieren könnten, BGE 125 III 50 S. 54 zu bewerten sind. In seiner älteren Rechtsprechung hat das Bundesgericht im Zusammenhang mit einer Erbteilung festgehalten, dass ein - limitiertes - Vorkaufsrecht geeignet sei, den Wert eines Grundstückes zu schmälern und deshalb bei der Bewertung zu berücksichtigen sei ( BGE 84 II 338 E. 3 S. 345 f.). In einem jüngeren Entscheid wurde demgegenüber entschieden, dass allfällige bei einem späteren Verkauf geschuldete Grundstückgewinnsteuern grundsätzlich nicht in die Bewertung einzubeziehen seien, ausser '«wenn mit Sicherheit oder hoher Wahrscheinlichkeit feststehe, dass ein Vermögensgegenstand veräussert werde'» ( BGE 121 III 304 E. 3b S. 305). In der Literatur wird die Meinung vertreten, dass bei der Bewertung von Vermögensgegenständen allfällige Belastungen, die sich künftig realisieren könnten, stets zu berücksichtigen seien (HAUSHEER/REUSSER/GEISER, Berner Kommentar, N. 15 zu Art. 211 ZGB m.w.H.; HAUSHEER, Basler Kommentar, N. 10 zu Art. 211 ZGB m.w.H.). Insbesondere latente Grundstücksteuern seien bei der Bewertung von Liegenschaften zu beachten (DESCHENAU/STEINAUER, Le nouveau droit matrimonial, Bern 1987, S. 373; PETER LOCHER, Wann sind latente Steuern bei der güterrechtlichen Auseinandersetzung zu berücksichtigen?, Der Berner Notar 49 [1988], S. 189 ff., insbes. S. 197; PETER BÖCKLI, Eintracht und Hader mit Steuerfolgen, Die Einkommenssteuer unter dem Einfluss des neuen Eherechts, Steuer Revue 46 [1991], S. 289 f.; PETER SPORI, Neues Eherecht und Steuern, ASA 56 [1987/88], S. 32 und S. 43). In diesem Zusammenhang ist denn auch BGE 121 III 304 kritisiert worden (THOMAS KOLLER, Die (Nicht-)Berücksichtigung latenter Steuerlasten im Ehegüterrecht, ZBJV 132 [1996], S. 247 ff.). Die Lehre postuliert, neben Grundstücksteuern auch andere, namentlich sich aus dem bäuerlichen Bodenrecht ergebende latente Lasten zu berücksichtigen (HAUSHEER/REUSSER/GEISER, Berner Kommentar, N. 14 zu Art. 211 ZGB ; LOCHER, a.a.O., S. 42). bb) Für die Berücksichtigung latenter Lasten kann nicht ausschliesslich massgebend sein, ob die Veräusserung eines Vermögenswertes mit Sicherheit oder mit hoher Wahrscheinlichkeit eintreten und die Last sich damit verwirklichen wird. Die Ungewissheit einer Verwirklichung der Last ändert nichts an deren grundsätzlichen Existenz und der dadurch bewirkten Wertverminderung eines Vermögenswertes. Ob und gegebenenfalls wann sich die Last verwirklichen könnte, ist hingegen für deren Bewertung bestimmend. Zudem beruht das Kriterium der sicheren oder zumindest sehr wahrscheinlichen Verwirklichung der Last auf der problematischen BGE 125 III 50 S. 55 Prämisse, der Eigentümer werde nur in einer wirtschaftlichen Zwangslage über den betreffenden Vermögenswert verfügen. Der Eigentümer kann aber auch aus anderen Gründen interessiert sein, einen Vermögenswert zu veräussern, so dass sich die Last auch ohne wirtschaftliche Zwangslage verwirklichen kann. Werden latente Lasten bei der Bewertung von Vermögensgegenständen nicht berücksichtigt, partizipieren zwar beide Ehegatten im Rahmen der Vorschlagsbeteiligung an einem allfälligen Gewinn, werden aber die Lasten bzw. das Risiko von deren Verwirklichung einseitig demjenigen Ehegatten überbunden, der den betreffenden Vermögenswert übernimmt. Dies ist nicht haltbar.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